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bookmarkStart w:id="0" w:name="_GoBack"/>
      <w:bookmarkEnd w:id="0"/>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B72560" w:rsidRPr="002578BB" w:rsidRDefault="002578BB" w:rsidP="002578BB">
      <w:pPr>
        <w:shd w:val="clear" w:color="auto" w:fill="FFFFFF"/>
        <w:spacing w:after="0" w:line="240" w:lineRule="auto"/>
        <w:jc w:val="center"/>
        <w:rPr>
          <w:rFonts w:ascii="Times New Roman" w:hAnsi="Times New Roman" w:cs="Times New Roman"/>
          <w:b/>
          <w:lang w:val="kk-KZ"/>
        </w:rPr>
      </w:pPr>
      <w:r>
        <w:rPr>
          <w:rFonts w:ascii="Times New Roman" w:hAnsi="Times New Roman" w:cs="Times New Roman"/>
          <w:b/>
          <w:lang w:val="kk-KZ"/>
        </w:rPr>
        <w:t>«</w:t>
      </w:r>
      <w:r w:rsidRPr="002578BB">
        <w:rPr>
          <w:rFonts w:ascii="Times New Roman" w:hAnsi="Times New Roman" w:cs="Times New Roman"/>
          <w:b/>
          <w:lang w:val="kk-KZ"/>
        </w:rPr>
        <w:t>Салық органының салықтық тексеру жүргізу туралы шешім қабылдау қағидалар</w:t>
      </w:r>
      <w:r>
        <w:rPr>
          <w:rFonts w:ascii="Times New Roman" w:hAnsi="Times New Roman" w:cs="Times New Roman"/>
          <w:b/>
          <w:lang w:val="kk-KZ"/>
        </w:rPr>
        <w:t xml:space="preserve">ын және негізін айқындау туралы» </w:t>
      </w:r>
      <w:r w:rsidRPr="002578BB">
        <w:rPr>
          <w:rFonts w:ascii="Times New Roman" w:hAnsi="Times New Roman" w:cs="Times New Roman"/>
          <w:b/>
          <w:lang w:val="kk-KZ"/>
        </w:rPr>
        <w:t>Қазақстан Республикасы Қаржы министрінің бұйрығының жобасы, сондай-ақ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салық органының хронометраждық зерттеп-қарауды жүргізу туралы шешім шығару қағидалары</w:t>
      </w:r>
    </w:p>
    <w:p w:rsidR="002578BB" w:rsidRPr="002578BB" w:rsidRDefault="002578BB">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F36477">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2578BB" w:rsidRDefault="002578BB" w:rsidP="002578BB">
            <w:pPr>
              <w:jc w:val="both"/>
              <w:rPr>
                <w:rFonts w:ascii="Times New Roman" w:eastAsia="Times New Roman" w:hAnsi="Times New Roman" w:cs="Times New Roman"/>
                <w:sz w:val="20"/>
                <w:lang w:val="kk-KZ" w:eastAsia="ru-RU"/>
              </w:rPr>
            </w:pPr>
            <w:r w:rsidRPr="002578BB">
              <w:rPr>
                <w:rFonts w:ascii="Times New Roman" w:hAnsi="Times New Roman" w:cs="Times New Roman"/>
                <w:sz w:val="20"/>
                <w:lang w:val="kk-KZ"/>
              </w:rPr>
              <w:t>«Салық органының салықтық тексеру жүргізу туралы шешім қабылдау қағидаларын және негізін айқындау туралы</w:t>
            </w:r>
            <w:r>
              <w:rPr>
                <w:rFonts w:ascii="Times New Roman" w:hAnsi="Times New Roman" w:cs="Times New Roman"/>
                <w:sz w:val="20"/>
                <w:lang w:val="kk-KZ"/>
              </w:rPr>
              <w:t xml:space="preserve">» </w:t>
            </w:r>
            <w:r w:rsidRPr="002578BB">
              <w:rPr>
                <w:rFonts w:ascii="Times New Roman" w:hAnsi="Times New Roman" w:cs="Times New Roman"/>
                <w:sz w:val="20"/>
                <w:lang w:val="kk-KZ"/>
              </w:rPr>
              <w:t>Қазақстан Республикасы Қаржы министрінің бұйрығының жобасы, сондай-ақ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салық органының хронометраждық зерттеп-қарауды жүргізу туралы шешім шығару қағидалары</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1740E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p>
        </w:tc>
      </w:tr>
      <w:tr w:rsidR="00B72560" w:rsidRPr="00F364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2578BB" w:rsidRDefault="002578BB" w:rsidP="00313E63">
            <w:pPr>
              <w:pStyle w:val="24"/>
              <w:pBdr>
                <w:bottom w:val="single" w:sz="4" w:space="31" w:color="FFFFFF"/>
              </w:pBdr>
              <w:spacing w:after="0" w:line="240" w:lineRule="auto"/>
              <w:contextualSpacing/>
              <w:jc w:val="both"/>
              <w:rPr>
                <w:rFonts w:ascii="Times New Roman" w:eastAsia="Times New Roman" w:hAnsi="Times New Roman"/>
                <w:lang w:val="kk-KZ" w:eastAsia="ru-RU"/>
              </w:rPr>
            </w:pPr>
            <w:r w:rsidRPr="002578BB">
              <w:rPr>
                <w:rFonts w:ascii="Times New Roman" w:hAnsi="Times New Roman"/>
                <w:sz w:val="20"/>
                <w:lang w:val="kk-KZ"/>
              </w:rPr>
              <w:t>Қазақстан Республикасы салық заңнамасының нормаларын іске асыру мақсатында (Салық кодексінің 153, 158-баптары)</w:t>
            </w:r>
          </w:p>
        </w:tc>
      </w:tr>
      <w:tr w:rsidR="00B72560" w:rsidRPr="00F364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2578BB" w:rsidRDefault="002578BB" w:rsidP="007A5F5A">
            <w:pPr>
              <w:pStyle w:val="24"/>
              <w:pBdr>
                <w:bottom w:val="single" w:sz="4" w:space="31" w:color="FFFFFF"/>
              </w:pBdr>
              <w:spacing w:after="0" w:line="240" w:lineRule="auto"/>
              <w:contextualSpacing/>
              <w:jc w:val="both"/>
              <w:rPr>
                <w:rFonts w:ascii="Times New Roman" w:eastAsia="Times New Roman" w:hAnsi="Times New Roman"/>
                <w:sz w:val="20"/>
                <w:lang w:val="kk-KZ" w:eastAsia="ru-RU"/>
              </w:rPr>
            </w:pPr>
            <w:r w:rsidRPr="002578BB">
              <w:rPr>
                <w:rFonts w:ascii="Times New Roman" w:hAnsi="Times New Roman"/>
                <w:sz w:val="20"/>
                <w:lang w:val="kk-KZ"/>
              </w:rPr>
              <w:t>Салық органының салықтық тексеруді жүргізу туралы шешім қабылдау қағидалары мен негіздері, сондай-ақ салық төлеушінің тіркеу деректерінде көрсетілген орналасқан жері бойынша және (немесе) салық салу объектісінің және (немесе) салық салуға байланысты объектінің орналасқан жері бойынша салық органының хронометраждық зерттеп-қарауды жүргізу туралы шешім шығару қағидалары Мемлекеттік кіріс органдарының деңгейлері бойынша тексерулер тағайындауды көздейді (аудандық, облыстық, республикалық) нақты орындаушыларды көрсете отырып</w:t>
            </w:r>
          </w:p>
        </w:tc>
      </w:tr>
      <w:tr w:rsidR="00B72560" w:rsidRPr="00F364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2578BB" w:rsidRDefault="002578BB" w:rsidP="007A5F5A">
            <w:pPr>
              <w:pStyle w:val="24"/>
              <w:pBdr>
                <w:bottom w:val="single" w:sz="4" w:space="31" w:color="FFFFFF"/>
              </w:pBdr>
              <w:spacing w:after="0" w:line="240" w:lineRule="auto"/>
              <w:contextualSpacing/>
              <w:jc w:val="both"/>
              <w:rPr>
                <w:rFonts w:ascii="Times New Roman" w:eastAsia="Times New Roman" w:hAnsi="Times New Roman"/>
                <w:lang w:val="kk-KZ" w:eastAsia="ru-RU"/>
              </w:rPr>
            </w:pPr>
            <w:r w:rsidRPr="002578BB">
              <w:rPr>
                <w:rFonts w:ascii="Times New Roman" w:hAnsi="Times New Roman"/>
                <w:sz w:val="20"/>
                <w:lang w:val="kk-KZ"/>
              </w:rPr>
              <w:t>Жобаны қабылдаудың мақсаты нақты орындаушыларды көрсете отырып, Мемлекеттік кірістер органдарының (аудандық, облыстық, республикалық) деңгейлері бойынша тексерулер тағайындауды көздейтін салық органының салықтық тексеру жүргізу туралы шешім шығаруы бойынша құқық нормаларын қабылдау болып табылады.</w:t>
            </w:r>
            <w:r w:rsidRPr="002578BB">
              <w:rPr>
                <w:rFonts w:ascii="Times New Roman" w:hAnsi="Times New Roman"/>
                <w:sz w:val="20"/>
                <w:lang w:val="kk-KZ"/>
              </w:rPr>
              <w:br/>
              <w:t>Күтілетін нәтиже әртүрлі нысандар бойынша салықтық тексерулерді тағайындау кезінде Мемлекеттік кірістер органдарының іс-қимылдарын ретке келтіру, оларды тағайындаудың негізділігі бойынша Мемлекеттік кірістер органдарының басшыларына жауапкершілік жүктеу, сондай-ақ сот органдарының салықтық тексерулердің күшін жоюды азайту болып табылады</w:t>
            </w:r>
          </w:p>
        </w:tc>
      </w:tr>
      <w:tr w:rsidR="00B72560" w:rsidRPr="00F36477">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2578BB" w:rsidRPr="002578BB" w:rsidRDefault="002578BB" w:rsidP="002578BB">
            <w:pPr>
              <w:spacing w:after="0" w:line="240" w:lineRule="auto"/>
              <w:rPr>
                <w:rFonts w:ascii="Times New Roman" w:eastAsia="Times New Roman" w:hAnsi="Times New Roman" w:cs="Times New Roman"/>
                <w:sz w:val="20"/>
                <w:szCs w:val="24"/>
                <w:lang w:val="kk-KZ" w:eastAsia="ru-RU"/>
              </w:rPr>
            </w:pPr>
            <w:r w:rsidRPr="002578BB">
              <w:rPr>
                <w:rFonts w:ascii="Times New Roman" w:eastAsia="Times New Roman" w:hAnsi="Times New Roman" w:cs="Times New Roman"/>
                <w:sz w:val="20"/>
                <w:szCs w:val="24"/>
                <w:lang w:val="kk-KZ" w:eastAsia="ru-RU"/>
              </w:rPr>
              <w:t>Бұйрықтың бұл жобасы нақты орындаушыларды көрсете отырып, Мемлекеттік кірістер органдарының (аудандық, облыстық, республикалық) деңгейлері бойынша тексерулер тағайындауды көздейтін салық органының салықтық тексеру жүргізу туралы шешім шығаруы бойынша құқық нормаларын қабылдау мақсатында әзірленді, осыған байланысты теріс әлеуметтік-экономикалық, құқықтық және өзге де салдарлар жоқ</w:t>
            </w:r>
          </w:p>
          <w:p w:rsidR="00135890" w:rsidRPr="00313E63" w:rsidRDefault="00135890" w:rsidP="00313E63">
            <w:pPr>
              <w:pStyle w:val="docdata"/>
              <w:pBdr>
                <w:bottom w:val="single" w:sz="4" w:space="0" w:color="FFFFFF"/>
              </w:pBdr>
              <w:spacing w:before="0" w:beforeAutospacing="0" w:after="0" w:afterAutospacing="0"/>
              <w:jc w:val="both"/>
              <w:rPr>
                <w:lang w:val="kk-KZ"/>
              </w:rPr>
            </w:pPr>
          </w:p>
        </w:tc>
      </w:tr>
    </w:tbl>
    <w:p w:rsidR="00B72560" w:rsidRPr="00B64C8B" w:rsidRDefault="00B72560">
      <w:pPr>
        <w:rPr>
          <w:rFonts w:ascii="Times New Roman" w:hAnsi="Times New Roman" w:cs="Times New Roman"/>
          <w:sz w:val="20"/>
          <w:lang w:val="kk-KZ"/>
        </w:rPr>
      </w:pPr>
    </w:p>
    <w:sectPr w:rsidR="00B72560" w:rsidRPr="00B64C8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4C2" w:rsidRDefault="002204C2">
      <w:pPr>
        <w:spacing w:after="0" w:line="240" w:lineRule="auto"/>
      </w:pPr>
      <w:r>
        <w:separator/>
      </w:r>
    </w:p>
  </w:endnote>
  <w:endnote w:type="continuationSeparator" w:id="0">
    <w:p w:rsidR="002204C2" w:rsidRDefault="00220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4C2" w:rsidRDefault="002204C2">
      <w:pPr>
        <w:spacing w:after="0" w:line="240" w:lineRule="auto"/>
      </w:pPr>
      <w:r>
        <w:separator/>
      </w:r>
    </w:p>
  </w:footnote>
  <w:footnote w:type="continuationSeparator" w:id="0">
    <w:p w:rsidR="002204C2" w:rsidRDefault="002204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560"/>
    <w:rsid w:val="000D3E9B"/>
    <w:rsid w:val="00135890"/>
    <w:rsid w:val="001740EB"/>
    <w:rsid w:val="0020164A"/>
    <w:rsid w:val="002204C2"/>
    <w:rsid w:val="00221ED4"/>
    <w:rsid w:val="002578BB"/>
    <w:rsid w:val="00265BFA"/>
    <w:rsid w:val="00292822"/>
    <w:rsid w:val="002C64DA"/>
    <w:rsid w:val="00313E63"/>
    <w:rsid w:val="0036153C"/>
    <w:rsid w:val="00393748"/>
    <w:rsid w:val="003B3A60"/>
    <w:rsid w:val="003C6DBB"/>
    <w:rsid w:val="003F1198"/>
    <w:rsid w:val="00406C50"/>
    <w:rsid w:val="004441EE"/>
    <w:rsid w:val="0048687F"/>
    <w:rsid w:val="00491C47"/>
    <w:rsid w:val="00636AC5"/>
    <w:rsid w:val="00656280"/>
    <w:rsid w:val="007072A3"/>
    <w:rsid w:val="007313FF"/>
    <w:rsid w:val="007424F0"/>
    <w:rsid w:val="007A5F5A"/>
    <w:rsid w:val="007D1A07"/>
    <w:rsid w:val="0081797F"/>
    <w:rsid w:val="0085472A"/>
    <w:rsid w:val="008B3939"/>
    <w:rsid w:val="008D0818"/>
    <w:rsid w:val="0092456D"/>
    <w:rsid w:val="0098156A"/>
    <w:rsid w:val="009D79EC"/>
    <w:rsid w:val="009E2DD8"/>
    <w:rsid w:val="009F4CA1"/>
    <w:rsid w:val="00A2083A"/>
    <w:rsid w:val="00A32244"/>
    <w:rsid w:val="00A711EA"/>
    <w:rsid w:val="00A86E29"/>
    <w:rsid w:val="00B64C8B"/>
    <w:rsid w:val="00B72560"/>
    <w:rsid w:val="00B72F42"/>
    <w:rsid w:val="00C07632"/>
    <w:rsid w:val="00C82729"/>
    <w:rsid w:val="00C87B5C"/>
    <w:rsid w:val="00D17B1C"/>
    <w:rsid w:val="00D4239E"/>
    <w:rsid w:val="00D6280D"/>
    <w:rsid w:val="00D82465"/>
    <w:rsid w:val="00DC1AEF"/>
    <w:rsid w:val="00DD7895"/>
    <w:rsid w:val="00E371C3"/>
    <w:rsid w:val="00E94F39"/>
    <w:rsid w:val="00EA3FF7"/>
    <w:rsid w:val="00EC3F5A"/>
    <w:rsid w:val="00EE4FBB"/>
    <w:rsid w:val="00F36477"/>
    <w:rsid w:val="00F56D41"/>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843202822">
      <w:bodyDiv w:val="1"/>
      <w:marLeft w:val="0"/>
      <w:marRight w:val="0"/>
      <w:marTop w:val="0"/>
      <w:marBottom w:val="0"/>
      <w:divBdr>
        <w:top w:val="none" w:sz="0" w:space="0" w:color="auto"/>
        <w:left w:val="none" w:sz="0" w:space="0" w:color="auto"/>
        <w:bottom w:val="none" w:sz="0" w:space="0" w:color="auto"/>
        <w:right w:val="none" w:sz="0" w:space="0" w:color="auto"/>
      </w:divBdr>
      <w:divsChild>
        <w:div w:id="1174879125">
          <w:marLeft w:val="0"/>
          <w:marRight w:val="0"/>
          <w:marTop w:val="0"/>
          <w:marBottom w:val="0"/>
          <w:divBdr>
            <w:top w:val="none" w:sz="0" w:space="0" w:color="auto"/>
            <w:left w:val="none" w:sz="0" w:space="0" w:color="auto"/>
            <w:bottom w:val="none" w:sz="0" w:space="0" w:color="auto"/>
            <w:right w:val="none" w:sz="0" w:space="0" w:color="auto"/>
          </w:divBdr>
          <w:divsChild>
            <w:div w:id="1277516675">
              <w:marLeft w:val="0"/>
              <w:marRight w:val="0"/>
              <w:marTop w:val="0"/>
              <w:marBottom w:val="0"/>
              <w:divBdr>
                <w:top w:val="none" w:sz="0" w:space="0" w:color="auto"/>
                <w:left w:val="none" w:sz="0" w:space="0" w:color="auto"/>
                <w:bottom w:val="none" w:sz="0" w:space="0" w:color="auto"/>
                <w:right w:val="none" w:sz="0" w:space="0" w:color="auto"/>
              </w:divBdr>
              <w:divsChild>
                <w:div w:id="2140998579">
                  <w:marLeft w:val="0"/>
                  <w:marRight w:val="0"/>
                  <w:marTop w:val="0"/>
                  <w:marBottom w:val="0"/>
                  <w:divBdr>
                    <w:top w:val="none" w:sz="0" w:space="0" w:color="auto"/>
                    <w:left w:val="none" w:sz="0" w:space="0" w:color="auto"/>
                    <w:bottom w:val="none" w:sz="0" w:space="0" w:color="auto"/>
                    <w:right w:val="none" w:sz="0" w:space="0" w:color="auto"/>
                  </w:divBdr>
                  <w:divsChild>
                    <w:div w:id="721752342">
                      <w:marLeft w:val="0"/>
                      <w:marRight w:val="0"/>
                      <w:marTop w:val="0"/>
                      <w:marBottom w:val="0"/>
                      <w:divBdr>
                        <w:top w:val="none" w:sz="0" w:space="0" w:color="auto"/>
                        <w:left w:val="none" w:sz="0" w:space="0" w:color="auto"/>
                        <w:bottom w:val="none" w:sz="0" w:space="0" w:color="auto"/>
                        <w:right w:val="none" w:sz="0" w:space="0" w:color="auto"/>
                      </w:divBdr>
                      <w:divsChild>
                        <w:div w:id="1614366449">
                          <w:marLeft w:val="0"/>
                          <w:marRight w:val="0"/>
                          <w:marTop w:val="0"/>
                          <w:marBottom w:val="0"/>
                          <w:divBdr>
                            <w:top w:val="none" w:sz="0" w:space="0" w:color="auto"/>
                            <w:left w:val="none" w:sz="0" w:space="0" w:color="auto"/>
                            <w:bottom w:val="none" w:sz="0" w:space="0" w:color="auto"/>
                            <w:right w:val="none" w:sz="0" w:space="0" w:color="auto"/>
                          </w:divBdr>
                          <w:divsChild>
                            <w:div w:id="992367137">
                              <w:marLeft w:val="0"/>
                              <w:marRight w:val="0"/>
                              <w:marTop w:val="0"/>
                              <w:marBottom w:val="0"/>
                              <w:divBdr>
                                <w:top w:val="none" w:sz="0" w:space="0" w:color="auto"/>
                                <w:left w:val="none" w:sz="0" w:space="0" w:color="auto"/>
                                <w:bottom w:val="none" w:sz="0" w:space="0" w:color="auto"/>
                                <w:right w:val="none" w:sz="0" w:space="0" w:color="auto"/>
                              </w:divBdr>
                              <w:divsChild>
                                <w:div w:id="31780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Нарманова Бинура Гаухарбековна</cp:lastModifiedBy>
  <cp:revision>2</cp:revision>
  <dcterms:created xsi:type="dcterms:W3CDTF">2025-08-21T07:17:00Z</dcterms:created>
  <dcterms:modified xsi:type="dcterms:W3CDTF">2025-08-21T07:17:00Z</dcterms:modified>
</cp:coreProperties>
</file>